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C" w:rsidRPr="0068055C" w:rsidRDefault="0068055C" w:rsidP="0068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68055C">
        <w:rPr>
          <w:rFonts w:ascii="Arial" w:eastAsia="Times New Roman" w:hAnsi="Arial" w:cs="Arial"/>
          <w:sz w:val="26"/>
          <w:szCs w:val="26"/>
          <w:lang w:eastAsia="ru-RU"/>
        </w:rPr>
        <w:t>Отчет</w:t>
      </w:r>
    </w:p>
    <w:p w:rsidR="0068055C" w:rsidRPr="0068055C" w:rsidRDefault="0068055C" w:rsidP="0068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8055C">
        <w:rPr>
          <w:rFonts w:ascii="Arial" w:eastAsia="Times New Roman" w:hAnsi="Arial" w:cs="Arial"/>
          <w:sz w:val="26"/>
          <w:szCs w:val="26"/>
          <w:lang w:eastAsia="ru-RU"/>
        </w:rPr>
        <w:t>о ходе 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еализации мер по предупреждению </w:t>
      </w:r>
      <w:r w:rsidRPr="0068055C">
        <w:rPr>
          <w:rFonts w:ascii="Arial" w:eastAsia="Times New Roman" w:hAnsi="Arial" w:cs="Arial"/>
          <w:sz w:val="26"/>
          <w:szCs w:val="26"/>
          <w:lang w:eastAsia="ru-RU"/>
        </w:rPr>
        <w:t>коррупции</w:t>
      </w:r>
    </w:p>
    <w:p w:rsidR="0068055C" w:rsidRPr="0068055C" w:rsidRDefault="0068055C" w:rsidP="0068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8055C">
        <w:rPr>
          <w:rFonts w:ascii="Arial" w:eastAsia="Times New Roman" w:hAnsi="Arial" w:cs="Arial"/>
          <w:sz w:val="26"/>
          <w:szCs w:val="26"/>
          <w:lang w:eastAsia="ru-RU"/>
        </w:rPr>
        <w:t>в МАУК «ДК «Поиск» за 2017 год.</w:t>
      </w:r>
    </w:p>
    <w:p w:rsidR="0068055C" w:rsidRPr="0068055C" w:rsidRDefault="0068055C" w:rsidP="0068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8055C">
        <w:rPr>
          <w:rFonts w:ascii="Arial" w:eastAsia="Times New Roman" w:hAnsi="Arial" w:cs="Arial"/>
          <w:sz w:val="16"/>
          <w:szCs w:val="16"/>
          <w:lang w:eastAsia="ru-RU"/>
        </w:rPr>
        <w:t>(наименование учреждения)</w:t>
      </w:r>
    </w:p>
    <w:p w:rsidR="0068055C" w:rsidRPr="0068055C" w:rsidRDefault="0068055C" w:rsidP="006805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086"/>
        <w:gridCol w:w="2262"/>
        <w:gridCol w:w="10127"/>
      </w:tblGrid>
      <w:tr w:rsidR="0068055C" w:rsidRPr="0068055C" w:rsidTr="00422E86">
        <w:tc>
          <w:tcPr>
            <w:tcW w:w="517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805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6805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86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Перечень антикоррупционных мероприятий</w:t>
            </w:r>
            <w:r w:rsidRPr="0068055C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68055C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МАУК ДК «</w:t>
            </w:r>
            <w:proofErr w:type="spellStart"/>
            <w:r w:rsidRPr="0068055C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Поиск</w:t>
            </w:r>
            <w:proofErr w:type="spellEnd"/>
            <w:r w:rsidRPr="0068055C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»</w:t>
            </w:r>
          </w:p>
        </w:tc>
      </w:tr>
      <w:tr w:rsidR="0068055C" w:rsidRPr="0068055C" w:rsidTr="00422E86">
        <w:tc>
          <w:tcPr>
            <w:tcW w:w="517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Разработан</w:t>
            </w:r>
            <w:proofErr w:type="gramEnd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введен в действие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(приказ  от 12.12.17 № 188 «Об утверждении Кодекса профессиональной этики и служебного поведения для работников МАУК ДК «Поиск»).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Ознакомлено 100% работников, в т. ч. вновь </w:t>
            </w: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прибывшие</w:t>
            </w:r>
            <w:proofErr w:type="gramEnd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ознакомляются под роспись.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 же приказом утверждено  «Положения о конфликте интересов», Кодекс профессиональной этики и служебного поведения работников.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МАУК ДК «Поиск» разработано и введено в действие приказом  от 12.12.17 № 190 «О комиссии по соблюдению кодекса профессиональной этики, служебного поведения и урегулированию конфликта интересов», Положение и состав комиссии по соблюдению кодекса профессиональной этики, служебного поведения и урегулированию конфликта интересов.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Сформирована комиссия в следующем составе: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зам. директора, председатель,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начальник службы эксплуатации имущественного комплекса и материально-технического обеспечения, зам. председателя,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помощник директора, секретарь,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инспектор по кадрам,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юрисконсульт.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отчетную дату вышеуказанными документами </w:t>
            </w: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ознакомлены</w:t>
            </w:r>
            <w:proofErr w:type="gramEnd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 подпись 58 штатных сотрудников.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Разработано и введено в действие положения о конфликте интересов для работников МАУК ДК «Поиск»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(приказ  от 12.12.17 № 188 «Об утверждении Кодекса профессиональной этики и служебного поведения работников).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Положение о декларации конфликта интересов</w:t>
            </w:r>
            <w:r w:rsidRPr="0068055C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работников МАУК ДК «Поиск»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(приказ от 12.12.17 № 187 «О декларации конфликта интересов»)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Ознакомлено 100% работников, в т. ч. вновь </w:t>
            </w: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прибывшие</w:t>
            </w:r>
            <w:proofErr w:type="gramEnd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ознакомляются под роспись.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отчетную дату вышеуказанными документами </w:t>
            </w: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ознакомлены</w:t>
            </w:r>
            <w:proofErr w:type="gramEnd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 подпись 58 штатных сотрудников.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Разработаны и введены в действие правила обмена деловыми подарками и знаками гостеприимства в МАУК ДК «Поиск»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(приказ  от 12.12.17 № 189 «О правилах обмена деловыми подарками и знаками гостеприимства»)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Ознакомлено 100% работников, в т. ч. вновь </w:t>
            </w: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прибывшие</w:t>
            </w:r>
            <w:proofErr w:type="gramEnd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ознакомляются под роспись.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преддверии Новогодних и рождественских праздников с сотрудниками учреждения 14.12.2017 года в 12.00 на базе  МАУК «ДК «Поиск» и 15.12.2018 в 12.00 на базе ЦКиИ Современник были проведены разъяснительные беседы на тему «Обмена деловыми подарками». Общее количество слушателей составило – 58 человек.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августа 2017 введены стандартные антикоррупционные оговорки в договоры, связанные с хозяйственной деятельностью МАУК «ДК «Поиск», которые разрабатываются в учреждении </w:t>
            </w:r>
          </w:p>
          <w:p w:rsidR="0068055C" w:rsidRPr="0068055C" w:rsidRDefault="0068055C" w:rsidP="0068055C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  <w:proofErr w:type="gramStart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>(8.1.</w:t>
            </w:r>
            <w:proofErr w:type="gramEnd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      </w:r>
            <w:proofErr w:type="gramEnd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 xml:space="preserve">При исполнении своих обязательств по Договору Стороны, их аффилированные </w:t>
            </w:r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lastRenderedPageBreak/>
              <w:t>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      </w:r>
            <w:proofErr w:type="gramEnd"/>
          </w:p>
          <w:p w:rsidR="0068055C" w:rsidRPr="0068055C" w:rsidRDefault="0068055C" w:rsidP="0068055C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  <w:r w:rsidRPr="0068055C">
              <w:rPr>
                <w:rFonts w:ascii="Arial" w:eastAsia="Calibri" w:hAnsi="Arial" w:cs="Arial"/>
                <w:i/>
                <w:color w:val="0070C0"/>
                <w:sz w:val="16"/>
                <w:szCs w:val="16"/>
                <w:lang w:eastAsia="ru-RU"/>
              </w:rPr>
              <w:t>8</w:t>
            </w:r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 xml:space="preserve">.2. В случае возникновения у Сторон подозрений, что произошло или может произойти нарушение каких-либо положений пункта 8.1.Договора,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</w:t>
            </w:r>
            <w:r w:rsidRPr="0068055C">
              <w:rPr>
                <w:rFonts w:ascii="Arial" w:eastAsia="Calibri" w:hAnsi="Arial" w:cs="Arial"/>
                <w:i/>
                <w:color w:val="0070C0"/>
                <w:sz w:val="16"/>
                <w:szCs w:val="16"/>
                <w:lang w:eastAsia="ru-RU"/>
              </w:rPr>
              <w:t xml:space="preserve">пункта 8.1. </w:t>
            </w:r>
            <w:proofErr w:type="gramStart"/>
            <w:r w:rsidRPr="0068055C">
              <w:rPr>
                <w:rFonts w:ascii="Arial" w:eastAsia="Calibri" w:hAnsi="Arial" w:cs="Arial"/>
                <w:i/>
                <w:color w:val="0070C0"/>
                <w:sz w:val="16"/>
                <w:szCs w:val="16"/>
                <w:lang w:eastAsia="ru-RU"/>
              </w:rPr>
              <w:t>Договора</w:t>
            </w:r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      </w:r>
            <w:proofErr w:type="gramEnd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 xml:space="preserve">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      </w:r>
            <w:proofErr w:type="gramStart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>с даты направления</w:t>
            </w:r>
            <w:proofErr w:type="gramEnd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 xml:space="preserve"> письменного уведомления.</w:t>
            </w:r>
          </w:p>
          <w:p w:rsidR="0068055C" w:rsidRPr="0068055C" w:rsidRDefault="0068055C" w:rsidP="0068055C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  <w:r w:rsidRPr="0068055C">
              <w:rPr>
                <w:rFonts w:ascii="Arial" w:eastAsia="Calibri" w:hAnsi="Arial" w:cs="Arial"/>
                <w:i/>
                <w:color w:val="0070C0"/>
                <w:sz w:val="16"/>
                <w:szCs w:val="16"/>
                <w:lang w:eastAsia="ru-RU"/>
              </w:rPr>
              <w:t xml:space="preserve">8.3. </w:t>
            </w:r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 xml:space="preserve">В случае нарушения одной Стороной обязательств воздерживаться от запрещенных в данном разделе действий и (или) неполучения другой Стороной в установленный Договором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</w:t>
            </w:r>
            <w:proofErr w:type="gramStart"/>
            <w:r w:rsidRPr="0068055C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>Сторона, по чьей инициативе был,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расторжения»).</w:t>
            </w:r>
            <w:proofErr w:type="gramEnd"/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2017 </w:t>
            </w: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раздел "обязанности работника" трудовых договоров МАУК «ДК «Поиск», введены пункты, касающиеся антикоррупционных факторов</w:t>
            </w:r>
          </w:p>
          <w:p w:rsidR="0068055C" w:rsidRPr="0068055C" w:rsidRDefault="0068055C" w:rsidP="0068055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(1.</w:t>
            </w:r>
            <w:proofErr w:type="gram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Информировать Работодателя о случаях склонения к совершению коррупционных нарушений.</w:t>
            </w:r>
          </w:p>
          <w:p w:rsidR="0068055C" w:rsidRPr="0068055C" w:rsidRDefault="0068055C" w:rsidP="0068055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Информировать Работодателя о ставшей известной информации о случаях совершения коррупционных правонарушений другими работниками, контрагентами учреждения или иными лицами.</w:t>
            </w:r>
          </w:p>
          <w:p w:rsidR="0068055C" w:rsidRPr="0068055C" w:rsidRDefault="0068055C" w:rsidP="0068055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Принимать меры по предотвращению или урегулированию конфликта интересов, стороной которого он является).</w:t>
            </w: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proofErr w:type="gramEnd"/>
          </w:p>
        </w:tc>
      </w:tr>
      <w:tr w:rsidR="0068055C" w:rsidRPr="0068055C" w:rsidTr="00422E86">
        <w:tc>
          <w:tcPr>
            <w:tcW w:w="517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Разработана и введена в действие антикоррупционная политика, которая регламентирует и регулирует порядок действий процедуры информирования работниками МАУК ДК «Поиск» работодателя о случаях склонения их к совершению коррупционных нарушений и порядка рассмотрения таких сообщений, а также содержит образец Уведомления о факте обращения в целях склонения работника к совершению коррупционных правонарушений и т.д.   </w:t>
            </w:r>
            <w:proofErr w:type="gramEnd"/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(приказ  от 12.12.17 № 186 «Об утверждении Антикоррупционной политики МАУК «ДК «Поиск»)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отчетный период ознакомлено под роспись 58 штатных сотрудников МАУК «ДК «Поиск», что составляет 100%, в т. ч. вновь прибывшие ознакомляются под роспись.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Согласно п. 4.1. антикоррупционной политики определены ответственные лица: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директор Учреждения,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заместитель директора,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менеджер,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главный бухгалтер,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инспектор по кадрам,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юрисконсульт.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Так же на сайте учреждения </w:t>
            </w:r>
            <w:hyperlink r:id="rId8" w:history="1"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дк-поиск.рф</w:t>
              </w:r>
              <w:proofErr w:type="spellEnd"/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присутствует механизм обратной связи.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 2017 разработана и введена антикоррупционная политика, которая регламентирует и регулирует порядок действий процедуры информирования работодателя о случаях склонения их к совершению коррупционных нарушений и порядка рассмотрения таких сообщений, а также содержит образец уведомления о факте обращения в целях склонения работника к совершению коррупционных правонарушений и т.д.   в действие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(приказ  от 12.12.17 № 186 «Об утверждении Антикоррупционной политики МАУК «ДК «Поиск»),</w:t>
            </w:r>
          </w:p>
          <w:p w:rsidR="0068055C" w:rsidRPr="0068055C" w:rsidRDefault="0068055C" w:rsidP="006805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отчетный период ознакомлено под роспись 58 штатных сотрудников МАУК «ДК «Поиск», что составляет 100%, в т. ч. вновь прибывшие ознакомляются под роспись.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Согласно п. 4.1. являются ответственные за реализацию Антикоррупционной политики: </w:t>
            </w:r>
            <w:proofErr w:type="gramEnd"/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директор Учреждения,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заместитель директора,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 менеджер,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главный бухгалтер,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инспектор по кадрам,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юрисконсульт.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сайте учреждения </w:t>
            </w:r>
            <w:hyperlink r:id="rId9" w:history="1"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дк-поиск.рф</w:t>
              </w:r>
              <w:proofErr w:type="spellEnd"/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существует механизм обратной связи.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2017 введена процедура информирования работниками МАУК «ДК «Поиск» работодателя о возникновении конфликта интересов. Порядок урегулирования выявленного конфликта интересов утвержден положением о конфликте интересов от 12.12.17., где установлен образец письменного Уведомления о конфликте интересов в комиссию по урегулированию конфликта интересов.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отчетный период ознакомлено под роспись 58 штатных сотрудников МАУК «ДК «Поиск», что составляет 100%, в т. ч. вновь прибывшие ознакомляются под роспись.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Сформирована комиссия в следующем составе: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зам. директора, председатель,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начальник службы эксплуатации имущественного комплекса и материально-технического обеспечения, зам. председателя,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помощник директора, секретарь,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 инспектор по кадрам,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– юрисконсульт. 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процедуры порядка защиты работников</w:t>
            </w:r>
            <w:r w:rsidRPr="006805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МАУК «ДК «Поиск» сообщивших о коррупционных правонарушениях в деятельности организации, от формальных и неформальных санкций в плане на 2018</w:t>
            </w:r>
          </w:p>
          <w:p w:rsidR="0068055C" w:rsidRPr="0068055C" w:rsidRDefault="0068055C" w:rsidP="0068055C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</w:rPr>
              <w:t>Действующая в МАУК «ДК «Поиск» процедура защиты работников на отчетный период:</w:t>
            </w:r>
          </w:p>
          <w:p w:rsidR="0068055C" w:rsidRPr="0068055C" w:rsidRDefault="0068055C" w:rsidP="0068055C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</w:rPr>
              <w:t>а) обеспечение конфиденциальности сведений,</w:t>
            </w:r>
          </w:p>
          <w:p w:rsidR="0068055C" w:rsidRPr="0068055C" w:rsidRDefault="0068055C" w:rsidP="0068055C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</w:rPr>
              <w:t>б) защита от неправомерного увольнения и иных ущемлений прав и законных интересов в рамках исполнения должностных обязанностей.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Ежегодное заполнение декларации о конфликте интересов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с 12.12.2017 в п. 1.3. Положения о декларации  конфликта  интересов</w:t>
            </w:r>
            <w:r w:rsidRPr="0068055C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МАУК «ДК «Поиск».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</w:t>
            </w:r>
            <w:r w:rsidRPr="0068055C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декларацию о конфликте интересов: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заместитель директора,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начальник службы эксплуатации имущественного комплекса и материально-технического обеспечения,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главный бухгалтер,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-бухгалтер,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инспектор по кадрам,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художественный руководитель.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декларации не позднее 20 сентября,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заполнение декларации  запланировано на 1 полугодие 2018 года.   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механизма проведения периодической оценки коррупционных рисков в целях выявления сфер деятельности  учреждения, наиболее подверженных таким рискам, и разработка соответствующих антикоррупционных мер включена в план мероприятий по противодействию коррупции работниками МАУК «ДК «Поиск» на 2018.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отчетный период на основании должностных инструкций директор и гл. бухгалтер</w:t>
            </w:r>
            <w:r w:rsidRPr="0068055C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МАУК «ДК «Поиск», регулярно проводит оценку коррупционных рисков в МАУК «ДК «Поиск», в </w:t>
            </w:r>
            <w:proofErr w:type="spell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анализ документооборота и договоров.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Ротация работников, занимающих должности, связанные с высоким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коррупционным риском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Руководитель</w:t>
            </w:r>
            <w:r w:rsidRPr="0068055C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МАУК «ДК «Поиск» при переводе сотрудника с одной должности на другую, проводит индивидуальную беседу на антикоррупционную тему.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Положения о ротации работников включена  в план мероприятий по противодействию коррупции МАУК «ДК «Поиск» на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2018 год.</w:t>
            </w:r>
          </w:p>
        </w:tc>
      </w:tr>
      <w:tr w:rsidR="0068055C" w:rsidRPr="0068055C" w:rsidTr="00422E86">
        <w:tc>
          <w:tcPr>
            <w:tcW w:w="517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и информирование работников</w:t>
            </w: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2017 году 100 % штатных сотрудников (58 чел.) МАУК «ДК «Поиск» своевременно ознакомлены с действующими нормативными документами, регламентирующими вопросы предупреждения и противодействия коррупции в организации под роспись, в т. ч. вновь прибывшие ознакомляются под роспись. Ответственный инспектор по кадрам  на основании должностной инструкции.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2017 регулярно с работниками МАУК «ДК «Поиск», на основании должностной инструкции зам. директора проводились мероприятия по вопросам профилактики и противодействия коррупции (беседы, собрания).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частности беседы на </w:t>
            </w:r>
            <w:proofErr w:type="spellStart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противокоррупционную</w:t>
            </w:r>
            <w:proofErr w:type="spellEnd"/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тему: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06.02.2017 «Мы против коррупции», количество слушателей – 32 человека;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10.04.2017 количество слушателей – 29 человека;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 27.06.2017 количество слушателей – 42 человека;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 09.10.2017 «Вместе против коррупции», количество слушателей – 49 человека;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14.12.2017 «Обмен деловыми подарками»;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 15.12.2017 «Обмен деловыми подарками» общее количество слушателей – 58 человека. 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МАУК «ДК «Поиск», на сайте </w:t>
            </w:r>
            <w:hyperlink r:id="rId10" w:history="1"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дк-поиск.рф</w:t>
              </w:r>
              <w:proofErr w:type="spellEnd"/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/</w:t>
              </w:r>
            </w:hyperlink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график личного приема каждый четверг с 14.00. до 16.00. На информационных беседах работников регулярно информируют о  возможности индивидуальной консультации</w:t>
            </w:r>
            <w:r w:rsidRPr="0068055C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вопросам применения (соблюдения) антикоррупционных стандартов и процедур.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2017 году обращений по данному вопросу не поступало.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5C" w:rsidRPr="0068055C" w:rsidTr="00422E86">
        <w:tc>
          <w:tcPr>
            <w:tcW w:w="517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Регулярно проводится внутренний контроль  директором учреждения. 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Ведение внутреннего финансового  контроля осуществляется на постоянной основе специалистами отделов бухгалтерского учета и отчетности МАУК «ДК «Поиск», заместителем руководителя учреждения, комиссией по внутреннему контролю. Что закреплено в учетной политике МАУК «ДК «Поиск».</w:t>
            </w:r>
          </w:p>
          <w:p w:rsidR="0068055C" w:rsidRPr="0068055C" w:rsidRDefault="0068055C" w:rsidP="00680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учреждении созданы и действуют постоянные комиссии: по движению нефинансовых активов; по закупкам; по списанию бланков строгой отчетности; по премированию. </w:t>
            </w:r>
          </w:p>
          <w:p w:rsidR="0068055C" w:rsidRPr="0068055C" w:rsidRDefault="0068055C" w:rsidP="006805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Внутренний финансовый контроль заключается в проведении повседневного анализа соблюдения процедур исполнения бюджета, составления бюджетной (бухгалтерской) отчетности и ведения бюджетного (бухгалтерского) учета, осуществлении мониторингов целевого расходования средств областного (федерального или муниципального) бюджета подведомственными учреждениями, оценке эффективности и результативности расходования средств бюджета для достижения целей, задач и целевых прогнозных показателей подразделениями управления, подведомственными учреждениями.</w:t>
            </w:r>
            <w:proofErr w:type="gramEnd"/>
          </w:p>
          <w:p w:rsidR="0068055C" w:rsidRPr="0068055C" w:rsidRDefault="0068055C" w:rsidP="0068055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ходе внутреннего контроля осуществляются следующие мероприятия:</w:t>
            </w:r>
          </w:p>
          <w:p w:rsidR="0068055C" w:rsidRPr="0068055C" w:rsidRDefault="0068055C" w:rsidP="0068055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-проверка расходных денежных документов до их оплаты (расчетно-платежных ведомостей, платежных поручений, счетов и т. п.). </w:t>
            </w:r>
            <w:proofErr w:type="spell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Фактом</w:t>
            </w:r>
            <w:proofErr w:type="spell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контроля</w:t>
            </w:r>
            <w:proofErr w:type="spell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является</w:t>
            </w:r>
            <w:proofErr w:type="spell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разрешение</w:t>
            </w:r>
            <w:proofErr w:type="spell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документов</w:t>
            </w:r>
            <w:proofErr w:type="spell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к </w:t>
            </w:r>
            <w:proofErr w:type="spell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оплате</w:t>
            </w:r>
            <w:proofErr w:type="spell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;</w:t>
            </w:r>
          </w:p>
          <w:p w:rsidR="0068055C" w:rsidRPr="0068055C" w:rsidRDefault="0068055C" w:rsidP="0068055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проверка наличия денежных сре</w:t>
            </w:r>
            <w:proofErr w:type="gram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дств в к</w:t>
            </w:r>
            <w:proofErr w:type="gram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ассе;</w:t>
            </w:r>
          </w:p>
          <w:p w:rsidR="0068055C" w:rsidRPr="0068055C" w:rsidRDefault="0068055C" w:rsidP="0068055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проверка полноты оприходования полученных в банке наличных денежных средств;</w:t>
            </w:r>
          </w:p>
          <w:p w:rsidR="0068055C" w:rsidRPr="0068055C" w:rsidRDefault="0068055C" w:rsidP="0068055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проверка наличия у подотчетных </w:t>
            </w:r>
            <w:proofErr w:type="gram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</w:t>
            </w:r>
            <w:proofErr w:type="gram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полученных под отчет денежных средств и (или) оправдательных документов;</w:t>
            </w:r>
          </w:p>
          <w:p w:rsidR="0068055C" w:rsidRPr="0068055C" w:rsidRDefault="0068055C" w:rsidP="0068055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взысканием дебиторской и погашением кредиторской задолженности;</w:t>
            </w:r>
          </w:p>
          <w:p w:rsidR="0068055C" w:rsidRPr="0068055C" w:rsidRDefault="0068055C" w:rsidP="0068055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сверка аналитического учета с синтетическим учетом (оборотная ведомость);</w:t>
            </w:r>
          </w:p>
          <w:p w:rsidR="0068055C" w:rsidRPr="0068055C" w:rsidRDefault="0068055C" w:rsidP="0068055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проверка фактического наличия материальных средств.</w:t>
            </w:r>
          </w:p>
          <w:p w:rsidR="0068055C" w:rsidRPr="0068055C" w:rsidRDefault="0068055C" w:rsidP="0068055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Федеральным законом от 06.12.2011 № 402-ФЗ «О бухгалтерском учете» установлена обязанность для всех организаций </w:t>
            </w:r>
            <w:proofErr w:type="gramStart"/>
            <w:r w:rsidRPr="0068055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осуществлять</w:t>
            </w:r>
            <w:proofErr w:type="gramEnd"/>
            <w:r w:rsidRPr="0068055C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Регулярно проводится внутренний контроль  директором учреждения.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8055C" w:rsidRPr="0068055C" w:rsidTr="00422E86">
        <w:tc>
          <w:tcPr>
            <w:tcW w:w="517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Привлечение экспертов</w:t>
            </w: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Периодическое проведение внешнего аудита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течение 2017 года необходимости в проведение внешнего аудита не возникало. </w:t>
            </w: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Привлечение внешних независимых экспертов при осуществлении хозяйственной деятельности организации и организации, антикоррупционных мер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течение 2017 года независимые эксперты не привлекались.</w:t>
            </w:r>
          </w:p>
        </w:tc>
      </w:tr>
      <w:tr w:rsidR="0068055C" w:rsidRPr="0068055C" w:rsidTr="00422E86">
        <w:tc>
          <w:tcPr>
            <w:tcW w:w="517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 исполнение требований Антикоррупционной политики учреждением ежегодно разрабатывается и утверждается план реализации антикоррупционных мероприятий, в котором для каждого мероприятия указываются сроки его проведения и ответственный исполнитель.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68055C" w:rsidRPr="0068055C" w:rsidTr="00422E86">
        <w:tc>
          <w:tcPr>
            <w:tcW w:w="517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0127" w:type="dxa"/>
          </w:tcPr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Отчетные материалы о проводимой работе и достигнутых результатах в сфере противодействия коррупции будут размещены в 1 квартале 2018 года  на официальном сайте учреждения </w:t>
            </w:r>
            <w:hyperlink r:id="rId11" w:history="1"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68055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://дк-поиск.рф/</w:t>
              </w:r>
            </w:hyperlink>
            <w:r w:rsidRPr="006805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68055C" w:rsidRPr="0068055C" w:rsidRDefault="0068055C" w:rsidP="00680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8055C" w:rsidRPr="0068055C" w:rsidRDefault="0068055C" w:rsidP="0068055C"/>
    <w:p w:rsidR="0068055C" w:rsidRPr="0068055C" w:rsidRDefault="0068055C" w:rsidP="0068055C"/>
    <w:p w:rsidR="008A647F" w:rsidRDefault="009A1C0F"/>
    <w:sectPr w:rsidR="008A647F" w:rsidSect="0068055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0F" w:rsidRDefault="009A1C0F" w:rsidP="0068055C">
      <w:pPr>
        <w:spacing w:after="0" w:line="240" w:lineRule="auto"/>
      </w:pPr>
      <w:r>
        <w:separator/>
      </w:r>
    </w:p>
  </w:endnote>
  <w:endnote w:type="continuationSeparator" w:id="0">
    <w:p w:rsidR="009A1C0F" w:rsidRDefault="009A1C0F" w:rsidP="006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0F" w:rsidRDefault="009A1C0F" w:rsidP="0068055C">
      <w:pPr>
        <w:spacing w:after="0" w:line="240" w:lineRule="auto"/>
      </w:pPr>
      <w:r>
        <w:separator/>
      </w:r>
    </w:p>
  </w:footnote>
  <w:footnote w:type="continuationSeparator" w:id="0">
    <w:p w:rsidR="009A1C0F" w:rsidRDefault="009A1C0F" w:rsidP="0068055C">
      <w:pPr>
        <w:spacing w:after="0" w:line="240" w:lineRule="auto"/>
      </w:pPr>
      <w:r>
        <w:continuationSeparator/>
      </w:r>
    </w:p>
  </w:footnote>
  <w:footnote w:id="1">
    <w:p w:rsidR="0068055C" w:rsidRPr="005D1B0E" w:rsidRDefault="0068055C" w:rsidP="0068055C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A773D0">
        <w:rPr>
          <w:lang w:val="ru-RU"/>
        </w:rPr>
        <w:t xml:space="preserve"> </w:t>
      </w:r>
      <w:r w:rsidRPr="004950FF">
        <w:rPr>
          <w:lang w:val="ru-RU"/>
        </w:rPr>
        <w:t xml:space="preserve">  </w:t>
      </w:r>
      <w:proofErr w:type="gramStart"/>
      <w:r w:rsidRPr="004950FF">
        <w:rPr>
          <w:lang w:val="ru-RU"/>
        </w:rPr>
        <w:t>Согласно</w:t>
      </w:r>
      <w:proofErr w:type="gramEnd"/>
      <w:r w:rsidRPr="004950FF">
        <w:rPr>
          <w:lang w:val="ru-RU"/>
        </w:rPr>
        <w:t xml:space="preserve"> методических рекомендаций по разработке и принятию организациями мер по предупреждению и противодействию коррупции (размещены на официальном портале Администрации города Тюмени в сети Интернет www.tyumen-city.ru в разделе «Противодействие коррупции» - «Методические материалы», а также в правовой системе «Консультант 3000»)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6ED0"/>
    <w:multiLevelType w:val="multilevel"/>
    <w:tmpl w:val="C36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41"/>
    <w:rsid w:val="00091880"/>
    <w:rsid w:val="000E02C6"/>
    <w:rsid w:val="001F1AB2"/>
    <w:rsid w:val="00580827"/>
    <w:rsid w:val="0068055C"/>
    <w:rsid w:val="009A1C0F"/>
    <w:rsid w:val="00F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55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rsid w:val="0068055C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5">
    <w:name w:val="footnote reference"/>
    <w:rsid w:val="00680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55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rsid w:val="0068055C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5">
    <w:name w:val="footnote reference"/>
    <w:rsid w:val="00680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-&#1087;&#1086;&#1080;&#1089;&#1082;.&#1088;&#1092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6;&#1082;-&#1087;&#1086;&#1080;&#1089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-&#1087;&#1086;&#1080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-&#1087;&#1086;&#1080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МАУК ЦКиИСовременник</dc:creator>
  <cp:lastModifiedBy>Пользователь Windows</cp:lastModifiedBy>
  <cp:revision>2</cp:revision>
  <dcterms:created xsi:type="dcterms:W3CDTF">2018-01-24T09:55:00Z</dcterms:created>
  <dcterms:modified xsi:type="dcterms:W3CDTF">2018-01-24T09:55:00Z</dcterms:modified>
</cp:coreProperties>
</file>